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360" w:lineRule="auto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360" w:lineRule="auto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TERMO DE JUSTIFICATIVAS TÉCNICAS RELEVANTES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360" w:lineRule="auto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1418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presente licitação trata da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Contratação de Empresas especializadas para a reforma e adequação da cobertura da torre norte do IFRS do Campus Porto Alegre”.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 área de cobertura a ser reformada é atualmente utilizada como depósito/almoxarifado, estoque diversos e outras finalidades. Porém, para seu uso, é necessária uma adequação a fim de melhorar as condições de habitabilidade, permanência e garantia dos produtos aquisitivos ali armazenados. Através de análise e relatório da precariedade da cobertura da torre norte do prédio (anexo ao processo) conclui-se que a melhor solução é a reforma da cobertura com troca da solução existente por uma de maior duração e de características técnicas melhoradas. Outra questão pertinente à cobertura é sobre o sistema de escoamento da água da chuva que percorre internamente o prédio e gera vazamentos. A proposta é colocar a captação das calhas externamente ao prédio em local próprio e abrigado para facilitar manutenções futuras e escoamentos das calhas coletoras. O campus possui isso como metas em seu plano de desenvolvimento institucional, para poder melhorar a infraestrutura do campus. </w:t>
      </w:r>
    </w:p>
    <w:p w:rsidR="00000000" w:rsidDel="00000000" w:rsidP="00000000" w:rsidRDefault="00000000" w:rsidRPr="00000000" w14:paraId="00000005">
      <w:pPr>
        <w:ind w:firstLine="1418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Instituído no capítulo I da Lei nº 12.462, de 5 de dezembro de 2011, e regulamentado pelo Decreto nº 7.581, de 11 de outubro de 2011, o Regime Diferenciado de Contratações Públicas (RDC), constitui disciplina excepcional e transitória facultativamente aplicável às licitações no âmbito da Administração Pública brasileira. A busca pela eficiência que inspira em grande medida a recomendação por parte desta diretoria da utilização de tal modalidade na elaboração deste certame, também se expressa nas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diretrizes do RDC;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1418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2835" w:firstLine="0"/>
        <w:jc w:val="both"/>
        <w:rPr>
          <w:rFonts w:ascii="Arial" w:cs="Arial" w:eastAsia="Arial" w:hAnsi="Arial"/>
          <w:color w:val="000000"/>
          <w:sz w:val="16"/>
          <w:szCs w:val="16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vertAlign w:val="baseline"/>
          <w:rtl w:val="0"/>
        </w:rPr>
        <w:t xml:space="preserve">“1.2.1. A padronização de instrumentos convocatórios e minutas de contratos conforme art. 4º, inciso II da Lei 12.462/2011;</w:t>
      </w:r>
    </w:p>
    <w:p w:rsidR="00000000" w:rsidDel="00000000" w:rsidP="00000000" w:rsidRDefault="00000000" w:rsidRPr="00000000" w14:paraId="00000008">
      <w:pPr>
        <w:ind w:left="2835" w:firstLine="0"/>
        <w:jc w:val="both"/>
        <w:rPr>
          <w:rFonts w:ascii="Arial" w:cs="Arial" w:eastAsia="Arial" w:hAnsi="Arial"/>
          <w:color w:val="000000"/>
          <w:sz w:val="16"/>
          <w:szCs w:val="16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vertAlign w:val="baseline"/>
          <w:rtl w:val="0"/>
        </w:rPr>
        <w:t xml:space="preserve">1.2.2. A busca da maior vantagem para a Administração Pública, considerando custos e benefícios, diretos e indiretos, de natureza econômica, social ou ambiental (art. 4º, inciso III Lei 12.462/2011);</w:t>
      </w:r>
    </w:p>
    <w:p w:rsidR="00000000" w:rsidDel="00000000" w:rsidP="00000000" w:rsidRDefault="00000000" w:rsidRPr="00000000" w14:paraId="00000009">
      <w:pPr>
        <w:ind w:left="2835" w:firstLine="0"/>
        <w:jc w:val="both"/>
        <w:rPr>
          <w:rFonts w:ascii="Arial" w:cs="Arial" w:eastAsia="Arial" w:hAnsi="Arial"/>
          <w:color w:val="000000"/>
          <w:sz w:val="16"/>
          <w:szCs w:val="16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16"/>
          <w:szCs w:val="16"/>
          <w:vertAlign w:val="baseline"/>
          <w:rtl w:val="0"/>
        </w:rPr>
        <w:t xml:space="preserve">1.2.3. O artigo 2º da Lei nº 12.462/2011 estipula as definições a serem observadas no regime diferenciado de contratações. Sobre o assunto, passa-se a destacar as inovações havidas em relação à Lei nº 8.666.</w:t>
      </w:r>
    </w:p>
    <w:p w:rsidR="00000000" w:rsidDel="00000000" w:rsidP="00000000" w:rsidRDefault="00000000" w:rsidRPr="00000000" w14:paraId="0000000A">
      <w:pPr>
        <w:ind w:left="2835" w:firstLine="0"/>
        <w:jc w:val="both"/>
        <w:rPr>
          <w:rFonts w:ascii="Arial" w:cs="Arial" w:eastAsia="Arial" w:hAnsi="Arial"/>
          <w:color w:val="000000"/>
          <w:sz w:val="16"/>
          <w:szCs w:val="16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16"/>
          <w:szCs w:val="16"/>
          <w:vertAlign w:val="baseline"/>
          <w:rtl w:val="0"/>
        </w:rPr>
        <w:t xml:space="preserve">1.2.3.1. A primeira refere-se à previsão de que o projeto básico deverá conter os elementos mínimos em referência “sem frustrar o caráter competitivo do procedimento licitatório” (parágrafo único, artigo 2º da Lei 12.462/2011). Diferenciando-se da Lei de Licitações – na qual a expressão consta em apenas alguns dos elementos mínimos do projeto básico – a nova legislação estende tal diretiva expressamente a todos os elementos do projeto básico, com todos os seus elementos constitutivos, não poderá frustrar o caráter competitivo das licitações.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2835" w:firstLine="0"/>
        <w:jc w:val="both"/>
        <w:rPr>
          <w:rFonts w:ascii="Arial" w:cs="Arial" w:eastAsia="Arial" w:hAnsi="Arial"/>
          <w:color w:val="000000"/>
          <w:sz w:val="16"/>
          <w:szCs w:val="16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16"/>
          <w:szCs w:val="16"/>
          <w:vertAlign w:val="baseline"/>
          <w:rtl w:val="0"/>
        </w:rPr>
        <w:t xml:space="preserve">1.2.3.2. A segunda inovação diz respeito à previsão de que o projeto básico deverá conter soluções técnicas detalhadas, restringindo-se “a necessidade de reformulação ou de variantes durante as fases de elaboração do projeto executivo e de realização das obras e montagem a situações devidamente comprovadas em ato motivado da Administração Pública” (artigo 2º, parágrafo único, inciso II da Lei 12.462/2011). Por mais avançada que seja a engenharia de custos e de projeção, não se estará sempre livre de distorções entre estimativa e realidade. Investindo-se na etapa de planejamento, certamente os riscos diminuem sobremaneira, mas ainda assim não se eliminam por completo. Disso advém a obrigação do Administrador em zelar para que, não obstante o contido no contrato, no Edital, nos projetos e na proposta do executor, seja honrada a contraprestação pecuniária com relação ao serviço e ao material efetivamente empregado na execução da obra. Trata-se de imposição dos princípios constitucionais da moralidade e da eficiência, bem como dos princípios da supremacia do interesse público e da vedação ao enriquecimento ilícito.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2835" w:firstLine="0"/>
        <w:jc w:val="both"/>
        <w:rPr>
          <w:rFonts w:ascii="Arial" w:cs="Arial" w:eastAsia="Arial" w:hAnsi="Arial"/>
          <w:color w:val="000000"/>
          <w:sz w:val="16"/>
          <w:szCs w:val="16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16"/>
          <w:szCs w:val="16"/>
          <w:vertAlign w:val="baseline"/>
          <w:rtl w:val="0"/>
        </w:rPr>
        <w:t xml:space="preserve">1.2.3.3. Trata-se de inovação relevante que fortalece o controle de eventuais reformulações durante as fases de detalhamento dos projetos e de execução da obra. Nesse sentido, a norma obriga que se comprove, por ato motivado, a necessidade de alteração em relação ao projeto básico. Com isso, por meio da verificação dos motivos de tal ato, coíbem-se modificações abusivas.”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1418" w:firstLine="1418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1418"/>
        <w:jc w:val="both"/>
        <w:rPr>
          <w:rFonts w:ascii="Arial" w:cs="Arial" w:eastAsia="Arial" w:hAnsi="Arial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A modalidade escolhida para o regime de execução do projeto básico, de acordo com o art. 2º da Lei nº 12.462/2011, é empreitada por </w:t>
      </w: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vertAlign w:val="baseline"/>
          <w:rtl w:val="0"/>
        </w:rPr>
        <w:t xml:space="preserve">preço unitário, 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permitindo-se a aferição e correção de eventuais distorções entre quantitativos apurados na fase de planejamento e os serviços efetivamente realizados na execução das obras, sendo pago ao contratado apenas os valores efetivamente executados.</w:t>
      </w:r>
    </w:p>
    <w:p w:rsidR="00000000" w:rsidDel="00000000" w:rsidP="00000000" w:rsidRDefault="00000000" w:rsidRPr="00000000" w14:paraId="0000000F">
      <w:pPr>
        <w:ind w:firstLine="1418"/>
        <w:jc w:val="both"/>
        <w:rPr>
          <w:rFonts w:ascii="Arial" w:cs="Arial" w:eastAsia="Arial" w:hAnsi="Arial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O objeto da contratação será composto por 01 item, de preço tota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highlight w:val="yellow"/>
          <w:rtl w:val="0"/>
        </w:rPr>
        <w:t xml:space="preserve">R$ 600.000,00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yellow"/>
          <w:vertAlign w:val="baseline"/>
          <w:rtl w:val="0"/>
        </w:rPr>
        <w:t xml:space="preserve"> (seiscentos mil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reais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yellow"/>
          <w:vertAlign w:val="baseline"/>
          <w:rtl w:val="0"/>
        </w:rPr>
        <w:t xml:space="preserve">).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Para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 fins de classificação, serão considerados o maior desconto. Considerando-se o artigo 23 da Lei 8.666, optou-se pelo </w:t>
      </w: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vertAlign w:val="baseline"/>
          <w:rtl w:val="0"/>
        </w:rPr>
        <w:t xml:space="preserve">não parcelamento do objeto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, uma vez que não se constatou comprovação técnica e econômica viável na vantajosidade de tal parcelamento.</w:t>
      </w:r>
    </w:p>
    <w:p w:rsidR="00000000" w:rsidDel="00000000" w:rsidP="00000000" w:rsidRDefault="00000000" w:rsidRPr="00000000" w14:paraId="00000010">
      <w:pPr>
        <w:ind w:firstLine="1418"/>
        <w:jc w:val="both"/>
        <w:rPr>
          <w:rFonts w:ascii="Arial" w:cs="Arial" w:eastAsia="Arial" w:hAnsi="Arial"/>
          <w:color w:val="00000a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Poderão participar desta licitação empresas que pertençam ao ramo do objeto a ser licitado, devidamente constituídas e operando em conformidade com a legislação vigente, que reúnam as condições de habilitação e qualificação exigidas. As empresas interessadas deverão estar com Credenciamento regular no Sistema de Cadastramento de Fornecedores – SICAF, conforme disposto no §3º do artigo 8º da Instrução Normativa SLTI/MPOG nº 02/2010 e suas alterações. Não se aplica a participação de </w:t>
      </w:r>
      <w:r w:rsidDel="00000000" w:rsidR="00000000" w:rsidRPr="00000000">
        <w:rPr>
          <w:rFonts w:ascii="Arial" w:cs="Arial" w:eastAsia="Arial" w:hAnsi="Arial"/>
          <w:b w:val="1"/>
          <w:color w:val="00000a"/>
          <w:sz w:val="22"/>
          <w:szCs w:val="22"/>
          <w:vertAlign w:val="baseline"/>
          <w:rtl w:val="0"/>
        </w:rPr>
        <w:t xml:space="preserve">cooperativas </w:t>
      </w:r>
      <w:r w:rsidDel="00000000" w:rsidR="00000000" w:rsidRPr="00000000">
        <w:rPr>
          <w:rFonts w:ascii="Arial" w:cs="Arial" w:eastAsia="Arial" w:hAnsi="Arial"/>
          <w:color w:val="00000a"/>
          <w:sz w:val="22"/>
          <w:szCs w:val="22"/>
          <w:vertAlign w:val="baseline"/>
          <w:rtl w:val="0"/>
        </w:rPr>
        <w:t xml:space="preserve">na licitação do objeto, sendo vetada a sua participação.</w:t>
      </w:r>
    </w:p>
    <w:p w:rsidR="00000000" w:rsidDel="00000000" w:rsidP="00000000" w:rsidRDefault="00000000" w:rsidRPr="00000000" w14:paraId="0000001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licitantes interessadas na licitação poderão agendar uma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vistoria técnica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previamente agendada,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loco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através de profissional técnico representante da empresa o qual inspecionará o local das obras e cercanias, de modo a obter, para sua própria utilização e por sua exclusiva responsabilidade, toda a informação necessária à elaboração da proposta. Todos os custos associados à visita e inspeção serão de inteira responsabilidade da licitante.</w:t>
      </w:r>
    </w:p>
    <w:p w:rsidR="00000000" w:rsidDel="00000000" w:rsidP="00000000" w:rsidRDefault="00000000" w:rsidRPr="00000000" w14:paraId="00000012">
      <w:pPr>
        <w:ind w:firstLine="1418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Veda-se 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subcontratação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total do objeto, bem como a subcontratação da parcela de maior relevância do projeto. O contratado, na execução do contrato, sem prejuízo das responsabilidades contratuais e legais, poderá subcontratar partes da obra, não ultrapassando o limite máximo 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yellow"/>
          <w:vertAlign w:val="baseline"/>
          <w:rtl w:val="0"/>
        </w:rPr>
        <w:t xml:space="preserve">20% do projeto já especificado no projeto básico,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somente com a prévia aprovação da contratante.</w:t>
      </w:r>
    </w:p>
    <w:p w:rsidR="00000000" w:rsidDel="00000000" w:rsidP="00000000" w:rsidRDefault="00000000" w:rsidRPr="00000000" w14:paraId="0000001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141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Todos os trabalhos deverão ser executados por mão-de-obra qualificada, devendo o contratado estar ciente das normas técnicas da ABNT, correspondentes a cada um dos serviços constantes das Especificações Técnicas.</w:t>
      </w:r>
    </w:p>
    <w:p w:rsidR="00000000" w:rsidDel="00000000" w:rsidP="00000000" w:rsidRDefault="00000000" w:rsidRPr="00000000" w14:paraId="00000014">
      <w:pPr>
        <w:ind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Considerou-se a adequação técnica; a funcionalidade; os requisitos ambientais; adequações as normas vigentes (requisitos de limites e áreas de ocupação, normas de urbanização, leis de proteção ambiental);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processo construtivo a ser empregado; possibilidade de racionalização do processo construtivo; existência de fornecedores e viabilidade; econômico-financeira do objeto. </w:t>
      </w:r>
    </w:p>
    <w:p w:rsidR="00000000" w:rsidDel="00000000" w:rsidP="00000000" w:rsidRDefault="00000000" w:rsidRPr="00000000" w14:paraId="00000015">
      <w:pPr>
        <w:ind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projeto arquitetônico foi elaborado com base no número de usuários e nas necessidades operacionais cotidianas básicas do campus. O objeto contempla as premissas de padrões de acessibilidade, constantes na Lei 10.098, no decreto 5.296/2004 e NBR 9050/ABNT, garantindo a acessibilidade aos portadores de necessidades especiais em consonância com a ABNT NBR 9050, bem como decreto 6.949/2009. </w:t>
      </w:r>
    </w:p>
    <w:p w:rsidR="00000000" w:rsidDel="00000000" w:rsidP="00000000" w:rsidRDefault="00000000" w:rsidRPr="00000000" w14:paraId="00000016">
      <w:pPr>
        <w:ind w:right="-15"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Atenta-se às seguintes diretrizes de sustentabilidade ambiental: emissão e propagação de ruídos; emissões de materiais particulados / poeiras; sinalização da obra; saúde e segurança do ocupacional / usos de EPI’s /Treinamento ambiental; passivos ambientais / áreas contaminadas, erosões e assoreamento dos cursos d’água locais; resíduos sólidos / efluentes líquidos; resíduos da construção civil e de demolições.</w:t>
      </w:r>
    </w:p>
    <w:p w:rsidR="00000000" w:rsidDel="00000000" w:rsidP="00000000" w:rsidRDefault="00000000" w:rsidRPr="00000000" w14:paraId="00000017">
      <w:pPr>
        <w:ind w:right="-15"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destinação dos resíduos da obra, ou seja, distribuição ordenada de rejeitos em aterros, observando normas operacionais específicas de modo a evitar danos ou riscos à saúde pública e à segurança e a minimizar os impactos ambientais adversos.</w:t>
      </w:r>
    </w:p>
    <w:p w:rsidR="00000000" w:rsidDel="00000000" w:rsidP="00000000" w:rsidRDefault="00000000" w:rsidRPr="00000000" w14:paraId="00000018">
      <w:pPr>
        <w:ind w:right="-15"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emprego de mão de obra, materiais, tecnologias e matérias-primas locais (artigo 12, IV, Lei n. 8.666, de 1993) seguirá as diretrizes de sustentabilidade nas contratações públicas (artigo 4º, Decreto 7.746, 05/06/12).</w:t>
      </w:r>
    </w:p>
    <w:p w:rsidR="00000000" w:rsidDel="00000000" w:rsidP="00000000" w:rsidRDefault="00000000" w:rsidRPr="00000000" w14:paraId="00000019">
      <w:pPr>
        <w:ind w:right="-15"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viabilidade economia-financeira do objeto é assegurada através de recurso do próprio Campus, que recebeu recurso específico para este objeto, via emenda parlamentar. Comenta-se ainda, que na região há fornecedores que deem respostas as soluções sob consideração. </w:t>
      </w:r>
    </w:p>
    <w:p w:rsidR="00000000" w:rsidDel="00000000" w:rsidP="00000000" w:rsidRDefault="00000000" w:rsidRPr="00000000" w14:paraId="0000001A">
      <w:pPr>
        <w:ind w:right="-15"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Encerra-se esse termo salientando a obediência à legislação pertinente e normas técnicas vigentes no que tange à construção, saúde e padrões educacionais estabelecidos pelo FNDE/MEC, assim como no Plano Diretor Municipal da cidade.  </w:t>
      </w:r>
    </w:p>
    <w:p w:rsidR="00000000" w:rsidDel="00000000" w:rsidP="00000000" w:rsidRDefault="00000000" w:rsidRPr="00000000" w14:paraId="0000001B">
      <w:pPr>
        <w:ind w:left="360" w:right="-15" w:firstLine="1418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-15" w:firstLine="1418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15" w:firstLine="1418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360" w:firstLine="1418"/>
        <w:jc w:val="right"/>
        <w:rPr>
          <w:rFonts w:ascii="Arial" w:cs="Arial" w:eastAsia="Arial" w:hAnsi="Arial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360" w:firstLine="1418"/>
        <w:jc w:val="center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Porto Alegre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31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julho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 2020</w:t>
      </w:r>
    </w:p>
    <w:p w:rsidR="00000000" w:rsidDel="00000000" w:rsidP="00000000" w:rsidRDefault="00000000" w:rsidRPr="00000000" w14:paraId="00000020">
      <w:pPr>
        <w:ind w:left="360" w:firstLine="1418"/>
        <w:jc w:val="center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Renato Pereira Monteiro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Diretora de Planejamento e Obras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Queila Tomielo de Camargo – Engenheira Civil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color w:val="000000"/>
          <w:sz w:val="22"/>
          <w:szCs w:val="22"/>
          <w:highlight w:val="magenta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Coordenadora de Planejam</w:t>
      </w:r>
      <w:r w:rsidDel="00000000" w:rsidR="00000000" w:rsidRPr="00000000">
        <w:rPr>
          <w:rFonts w:ascii="Arial" w:cs="Arial" w:eastAsia="Arial" w:hAnsi="Arial"/>
          <w:rtl w:val="0"/>
        </w:rPr>
        <w:t xml:space="preserve">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120" w:line="360" w:lineRule="auto"/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/>
      <w:pgMar w:bottom="1134" w:top="2835" w:left="1701" w:right="851" w:header="720" w:footer="102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9708.0" w:type="dxa"/>
      <w:jc w:val="center"/>
      <w:tblLayout w:type="fixed"/>
      <w:tblLook w:val="0000"/>
    </w:tblPr>
    <w:tblGrid>
      <w:gridCol w:w="2762"/>
      <w:gridCol w:w="4111"/>
      <w:gridCol w:w="2835"/>
      <w:tblGridChange w:id="0">
        <w:tblGrid>
          <w:gridCol w:w="2762"/>
          <w:gridCol w:w="4111"/>
          <w:gridCol w:w="2835"/>
        </w:tblGrid>
      </w:tblGridChange>
    </w:tblGrid>
    <w:tr>
      <w:tc>
        <w:tcPr>
          <w:vAlign w:val="top"/>
        </w:tcPr>
        <w:p w:rsidR="00000000" w:rsidDel="00000000" w:rsidP="00000000" w:rsidRDefault="00000000" w:rsidRPr="00000000" w14:paraId="0000002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02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Ecofont_Spranq_eco_Sans" w:cs="Ecofont_Spranq_eco_Sans" w:eastAsia="Ecofont_Spranq_eco_Sans" w:hAnsi="Ecofont_Spranq_eco_Sans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743585" cy="742950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3585" cy="7429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top"/>
        </w:tcPr>
        <w:p w:rsidR="00000000" w:rsidDel="00000000" w:rsidP="00000000" w:rsidRDefault="00000000" w:rsidRPr="00000000" w14:paraId="0000002C">
          <w:pPr>
            <w:rPr>
              <w:color w:val="000000"/>
              <w:sz w:val="16"/>
              <w:szCs w:val="16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2607.0000000000005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303"/>
            <w:gridCol w:w="1304"/>
            <w:tblGridChange w:id="0">
              <w:tblGrid>
                <w:gridCol w:w="1303"/>
                <w:gridCol w:w="1304"/>
              </w:tblGrid>
            </w:tblGridChange>
          </w:tblGrid>
          <w:tr>
            <w:tc>
              <w:tcPr>
                <w:gridSpan w:val="2"/>
                <w:tcMar>
                  <w:left w:w="103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IFRS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c>
              <w:tcPr>
                <w:tcMar>
                  <w:left w:w="103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Fls. nº</w:t>
                </w:r>
              </w:p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Mar>
                  <w:left w:w="103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252"/>
                    <w:tab w:val="right" w:pos="8504"/>
                  </w:tabs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6"/>
                    <w:szCs w:val="16"/>
                    <w:u w:val="none"/>
                    <w:shd w:fill="auto" w:val="clear"/>
                    <w:vertAlign w:val="baseline"/>
                    <w:rtl w:val="0"/>
                  </w:rPr>
                  <w:t xml:space="preserve">Rubrica</w:t>
                </w:r>
              </w:p>
            </w:tc>
          </w:tr>
        </w:tbl>
        <w:p w:rsidR="00000000" w:rsidDel="00000000" w:rsidP="00000000" w:rsidRDefault="00000000" w:rsidRPr="00000000" w14:paraId="0000003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c>
        <w:tcPr>
          <w:gridSpan w:val="3"/>
          <w:vAlign w:val="top"/>
        </w:tcPr>
        <w:p w:rsidR="00000000" w:rsidDel="00000000" w:rsidP="00000000" w:rsidRDefault="00000000" w:rsidRPr="00000000" w14:paraId="00000033">
          <w:pPr>
            <w:jc w:val="center"/>
            <w:rPr>
              <w:rFonts w:ascii="Arial" w:cs="Arial" w:eastAsia="Arial" w:hAnsi="Arial"/>
              <w:color w:val="00000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vertAlign w:val="baseline"/>
              <w:rtl w:val="0"/>
            </w:rPr>
            <w:t xml:space="preserve">Ministério da Educação</w:t>
          </w:r>
        </w:p>
        <w:p w:rsidR="00000000" w:rsidDel="00000000" w:rsidP="00000000" w:rsidRDefault="00000000" w:rsidRPr="00000000" w14:paraId="00000034">
          <w:pPr>
            <w:jc w:val="center"/>
            <w:rPr>
              <w:rFonts w:ascii="Arial" w:cs="Arial" w:eastAsia="Arial" w:hAnsi="Arial"/>
              <w:color w:val="00000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vertAlign w:val="baseline"/>
              <w:rtl w:val="0"/>
            </w:rPr>
            <w:t xml:space="preserve">Secretaria de Educação Profissional e Tecnológica</w:t>
          </w:r>
        </w:p>
        <w:p w:rsidR="00000000" w:rsidDel="00000000" w:rsidP="00000000" w:rsidRDefault="00000000" w:rsidRPr="00000000" w14:paraId="00000035">
          <w:pPr>
            <w:jc w:val="center"/>
            <w:rPr>
              <w:rFonts w:ascii="Arial" w:cs="Arial" w:eastAsia="Arial" w:hAnsi="Arial"/>
              <w:color w:val="00000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20"/>
              <w:szCs w:val="20"/>
              <w:vertAlign w:val="baseline"/>
              <w:rtl w:val="0"/>
            </w:rPr>
            <w:t xml:space="preserve">Instituto Federal de Educação, Ciência e Tecnologia do Rio Grande do Sul</w:t>
          </w:r>
        </w:p>
        <w:p w:rsidR="00000000" w:rsidDel="00000000" w:rsidP="00000000" w:rsidRDefault="00000000" w:rsidRPr="00000000" w14:paraId="0000003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Diretoria de Planejamento e Obras</w:t>
          </w:r>
        </w:p>
      </w:tc>
    </w:tr>
  </w:tbl>
  <w:p w:rsidR="00000000" w:rsidDel="00000000" w:rsidP="00000000" w:rsidRDefault="00000000" w:rsidRPr="00000000" w14:paraId="00000039">
    <w:pPr>
      <w:ind w:right="-17"/>
      <w:jc w:val="center"/>
      <w:rPr>
        <w:rFonts w:ascii="Arial" w:cs="Arial" w:eastAsia="Arial" w:hAnsi="Arial"/>
        <w:color w:val="000000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color w:val="000000"/>
        <w:sz w:val="16"/>
        <w:szCs w:val="16"/>
        <w:vertAlign w:val="baseline"/>
        <w:rtl w:val="0"/>
      </w:rPr>
      <w:t xml:space="preserve">Rua Gen. Osório, 348 – Centro – Bento Gonçalves/RS – CEP:95.700086</w:t>
    </w:r>
  </w:p>
  <w:p w:rsidR="00000000" w:rsidDel="00000000" w:rsidP="00000000" w:rsidRDefault="00000000" w:rsidRPr="00000000" w14:paraId="0000003A">
    <w:pPr>
      <w:ind w:right="-17"/>
      <w:jc w:val="center"/>
      <w:rPr>
        <w:rFonts w:ascii="Arial" w:cs="Arial" w:eastAsia="Arial" w:hAnsi="Arial"/>
        <w:color w:val="000000"/>
        <w:sz w:val="16"/>
        <w:szCs w:val="16"/>
        <w:vertAlign w:val="baseline"/>
      </w:rPr>
    </w:pPr>
    <w:r w:rsidDel="00000000" w:rsidR="00000000" w:rsidRPr="00000000">
      <w:rPr>
        <w:rFonts w:ascii="Arial" w:cs="Arial" w:eastAsia="Arial" w:hAnsi="Arial"/>
        <w:color w:val="000000"/>
        <w:sz w:val="16"/>
        <w:szCs w:val="16"/>
        <w:vertAlign w:val="baseline"/>
        <w:rtl w:val="0"/>
      </w:rPr>
      <w:t xml:space="preserve">Telefone: (54) 3449-3332 – www.ifrs.edu.br – E-mail: </w:t>
    </w:r>
    <w:hyperlink r:id="rId2">
      <w:r w:rsidDel="00000000" w:rsidR="00000000" w:rsidRPr="00000000">
        <w:rPr>
          <w:rFonts w:ascii="Arial" w:cs="Arial" w:eastAsia="Arial" w:hAnsi="Arial"/>
          <w:color w:val="000080"/>
          <w:sz w:val="16"/>
          <w:szCs w:val="16"/>
          <w:u w:val="single"/>
          <w:vertAlign w:val="baseline"/>
          <w:rtl w:val="0"/>
        </w:rPr>
        <w:t xml:space="preserve">dpo@ifrs.edu.br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ind w:right="-17"/>
      <w:jc w:val="center"/>
      <w:rPr>
        <w:rFonts w:ascii="Arial" w:cs="Arial" w:eastAsia="Arial" w:hAnsi="Arial"/>
        <w:color w:val="000000"/>
        <w:sz w:val="16"/>
        <w:szCs w:val="16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Ecofont_Spranq_eco_Sans" w:cs="Ecofont_Spranq_eco_Sans" w:eastAsia="Ecofont_Spranq_eco_Sans" w:hAnsi="Ecofont_Spranq_eco_Sans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numPr>
        <w:ilvl w:val="1"/>
        <w:numId w:val="1"/>
      </w:numPr>
      <w:tabs>
        <w:tab w:val="left" w:leader="none" w:pos="1701"/>
      </w:tabs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top"/>
      <w:outlineLvl w:val="1"/>
    </w:pPr>
    <w:rPr>
      <w:rFonts w:ascii="Times New Roman" w:cs="Times New Roman" w:hAnsi="Times New Roman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b w:val="0"/>
      <w:i w:val="1"/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b w:val="1"/>
      <w:i w:val="0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color w:val="0000ff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Ecofont_Spranq_eco_Sans" w:cs="Arial" w:hAnsi="Ecofont_Spranq_eco_Sans"/>
      <w:i w:val="1"/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ítulo2Char">
    <w:name w:val="Título 2 Char"/>
    <w:next w:val="Título2Char"/>
    <w:autoRedefine w:val="0"/>
    <w:hidden w:val="0"/>
    <w:qFormat w:val="0"/>
    <w:rPr>
      <w:b w:val="1"/>
      <w:color w:val="000000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normal__char1">
    <w:name w:val="normal__char1"/>
    <w:next w:val="normal__char1"/>
    <w:autoRedefine w:val="0"/>
    <w:hidden w:val="0"/>
    <w:qFormat w:val="0"/>
    <w:rPr>
      <w:rFonts w:ascii="Arial" w:cs="Arial" w:hAnsi="Arial"/>
      <w:strike w:val="0"/>
      <w:dstrike w:val="0"/>
      <w:w w:val="100"/>
      <w:position w:val="-1"/>
      <w:sz w:val="24"/>
      <w:szCs w:val="24"/>
      <w:u w:val="none"/>
      <w:effect w:val="none"/>
      <w:vertAlign w:val="baseline"/>
      <w:cs w:val="0"/>
      <w:em w:val="none"/>
      <w:lang/>
    </w:rPr>
  </w:style>
  <w:style w:type="character" w:styleId="apple-style-span">
    <w:name w:val="apple-style-span"/>
    <w:basedOn w:val="Fonteparág.padrão1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Ênfase">
    <w:name w:val="Ênfase"/>
    <w:next w:val="Ênfas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citação2Char">
    <w:name w:val="citação 2 Char"/>
    <w:next w:val="citação2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effect w:val="none"/>
      <w:vertAlign w:val="baseline"/>
      <w:cs w:val="0"/>
      <w:em w:val="none"/>
      <w:lang w:bidi="ar-SA" w:val="pt-BR"/>
    </w:rPr>
  </w:style>
  <w:style w:type="character" w:styleId="CorpodetextoChar">
    <w:name w:val="Corpo de texto Char"/>
    <w:next w:val="CorpodetextoChar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 w:bidi="ar-SA" w:val="pt-BR"/>
    </w:rPr>
  </w:style>
  <w:style w:type="character" w:styleId="FootnoteCharacters">
    <w:name w:val="Footnote Characters"/>
    <w:next w:val="FootnoteCharacters"/>
    <w:autoRedefine w:val="0"/>
    <w:hidden w:val="0"/>
    <w:qFormat w:val="0"/>
    <w:rPr>
      <w:color w:val="ff0000"/>
      <w:w w:val="100"/>
      <w:position w:val="-1"/>
      <w:effect w:val="none"/>
      <w:vertAlign w:val="superscript"/>
      <w:cs w:val="0"/>
      <w:em w:val="none"/>
      <w:lang/>
    </w:rPr>
  </w:style>
  <w:style w:type="character" w:styleId="apple-converted-space">
    <w:name w:val="apple-converted-space"/>
    <w:basedOn w:val="Fonteparág.padrão1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ombreamentoMédio1-Ênfase3Char">
    <w:name w:val="Sombreamento Médio 1 - Ênfase 3 Char"/>
    <w:next w:val="SombreamentoMédio1-Ênfase3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Cs w:val="24"/>
      <w:effect w:val="none"/>
      <w:vertAlign w:val="baseline"/>
      <w:cs w:val="0"/>
      <w:em w:val="none"/>
      <w:lang w:bidi="ar-SA" w:val="pt-BR"/>
    </w:rPr>
  </w:style>
  <w:style w:type="character" w:styleId="TextodecomentárioChar">
    <w:name w:val="Texto de comentário Char"/>
    <w:next w:val="TextodecomentárioChar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/>
    </w:rPr>
  </w:style>
  <w:style w:type="character" w:styleId="GradeMédia2-Ênfase2Char">
    <w:name w:val="Grade Média 2 - Ênfase 2 Char"/>
    <w:next w:val="GradeMédia2-Ênfase2Char"/>
    <w:autoRedefine w:val="0"/>
    <w:hidden w:val="0"/>
    <w:qFormat w:val="0"/>
    <w:rPr>
      <w:rFonts w:ascii="Ecofont_Spranq_eco_Sans" w:cs="Ecofont_Spranq_eco_Sans" w:eastAsia="Calibri" w:hAnsi="Ecofont_Spranq_eco_Sans"/>
      <w:i w:val="1"/>
      <w:iCs w:val="1"/>
      <w:color w:val="000000"/>
      <w:w w:val="100"/>
      <w:position w:val="-1"/>
      <w:szCs w:val="24"/>
      <w:effect w:val="none"/>
      <w:shd w:color="auto" w:fill="ffffcc" w:val="clear"/>
      <w:vertAlign w:val="baseline"/>
      <w:cs w:val="0"/>
      <w:em w:val="none"/>
      <w:lang w:val="und"/>
    </w:rPr>
  </w:style>
  <w:style w:type="character" w:styleId="Ref.decomentário1">
    <w:name w:val="Ref. de comentário1"/>
    <w:next w:val="Ref.decomentário1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AssuntodocomentárioChar">
    <w:name w:val="Assunto do comentário Char"/>
    <w:next w:val="AssuntodocomentárioChar"/>
    <w:autoRedefine w:val="0"/>
    <w:hidden w:val="0"/>
    <w:qFormat w:val="0"/>
    <w:rPr>
      <w:rFonts w:ascii="Ecofont_Spranq_eco_Sans" w:cs="Tahoma" w:hAnsi="Ecofont_Spranq_eco_Sans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Ref.decomentário2">
    <w:name w:val="Ref. de comentário2"/>
    <w:next w:val="Ref.decomentário2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xtodecomentárioChar1">
    <w:name w:val="Texto de comentário Char1"/>
    <w:next w:val="TextodecomentárioChar1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 w:eastAsia="zh-CN"/>
    </w:rPr>
  </w:style>
  <w:style w:type="character" w:styleId="CabeçalhoChar">
    <w:name w:val="Cabeçalho Char"/>
    <w:next w:val="CabeçalhoChar"/>
    <w:autoRedefine w:val="0"/>
    <w:hidden w:val="0"/>
    <w:qFormat w:val="0"/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RodapéChar">
    <w:name w:val="Rodapé Char"/>
    <w:next w:val="RodapéChar"/>
    <w:autoRedefine w:val="0"/>
    <w:hidden w:val="0"/>
    <w:qFormat w:val="0"/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Heading">
    <w:name w:val="Heading"/>
    <w:basedOn w:val="Normal"/>
    <w:next w:val="Corpodetexto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ohit Hindi" w:eastAsia="WenQuanYi Micro 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Lista">
    <w:name w:val="Lista"/>
    <w:basedOn w:val="Corpodetexto"/>
    <w:next w:val="Lista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Lohit Hindi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GradeClara-Ênfase31">
    <w:name w:val="Grade Clara - Ênfase 31"/>
    <w:basedOn w:val="Normal"/>
    <w:next w:val="GradeClara-Ênfase31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1">
    <w:name w:val="Texto de balão1"/>
    <w:basedOn w:val="Normal"/>
    <w:next w:val="Textodebalã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Nível2">
    <w:name w:val="Nível 2"/>
    <w:basedOn w:val="Normal"/>
    <w:next w:val="Normal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hAnsi="Arial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Normal"/>
    <w:next w:val="citação2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ad">
    <w:name w:val="ad"/>
    <w:basedOn w:val="Normal"/>
    <w:next w:val="ad"/>
    <w:autoRedefine w:val="0"/>
    <w:hidden w:val="0"/>
    <w:qFormat w:val="0"/>
    <w:pPr>
      <w:suppressAutoHyphens w:val="0"/>
      <w:spacing w:line="360" w:lineRule="auto"/>
      <w:ind w:left="993" w:right="0" w:leftChars="-1" w:rightChars="0" w:hanging="284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a6">
    <w:name w:val="a6"/>
    <w:next w:val="a6"/>
    <w:autoRedefine w:val="0"/>
    <w:hidden w:val="0"/>
    <w:qFormat w:val="0"/>
    <w:pPr>
      <w:suppressAutoHyphens w:val="0"/>
      <w:spacing w:after="120" w:line="1" w:lineRule="atLeast"/>
      <w:ind w:left="1134" w:leftChars="-1" w:rightChars="0" w:firstLineChars="-1"/>
      <w:jc w:val="both"/>
      <w:textDirection w:val="btLr"/>
      <w:textAlignment w:val="top"/>
      <w:outlineLvl w:val="0"/>
    </w:pPr>
    <w:rPr>
      <w:bCs w:val="1"/>
      <w:iCs w:val="1"/>
      <w:w w:val="100"/>
      <w:position w:val="-1"/>
      <w:effect w:val="none"/>
      <w:vertAlign w:val="baseline"/>
      <w:cs w:val="0"/>
      <w:em w:val="none"/>
      <w:lang w:bidi="ar-SA" w:eastAsia="zh-CN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Textodenotaderodapé">
    <w:name w:val="Texto de nota de rodapé"/>
    <w:basedOn w:val="Normal"/>
    <w:next w:val="Textodenotaderodapé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rFonts w:ascii="Times New Roman" w:cs="Times New Roman" w:eastAsia="Arial Unicode MS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ombreamentoMédio1-Ênfase31">
    <w:name w:val="Sombreamento Médio 1 - Ênfase 31"/>
    <w:basedOn w:val="Normal"/>
    <w:next w:val="Normal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comentário1">
    <w:name w:val="Texto de comentário1"/>
    <w:basedOn w:val="Normal"/>
    <w:next w:val="Textodecomentári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Normal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imes New Roman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Assuntodocomentário1">
    <w:name w:val="Assunto do comentário1"/>
    <w:basedOn w:val="Textodecomentário1"/>
    <w:next w:val="Textodecomentári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comentário2">
    <w:name w:val="Texto de comentário2"/>
    <w:basedOn w:val="Normal"/>
    <w:next w:val="Textodecomentário2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pt-BR"/>
    </w:rPr>
  </w:style>
  <w:style w:type="character" w:styleId="TextodebalãoChar1">
    <w:name w:val="Texto de balão Char1"/>
    <w:next w:val="TextodebalãoChar1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zh-CN" w:val="pt-BR"/>
    </w:rPr>
  </w:style>
  <w:style w:type="paragraph" w:styleId="GradeMédia1-Ênfase2">
    <w:name w:val="Grade Média 1 - Ênfase 2"/>
    <w:basedOn w:val="Normal"/>
    <w:next w:val="GradeMédia1-Ênfase2"/>
    <w:autoRedefine w:val="0"/>
    <w:hidden w:val="0"/>
    <w:qFormat w:val="0"/>
    <w:pPr>
      <w:widowControl w:val="0"/>
      <w:suppressAutoHyphens w:val="0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eastAsia="Arial Unicode MS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GradeMédia2-Ênfase2">
    <w:name w:val="Grade Média 2 - Ênfase 2"/>
    <w:basedOn w:val="Normal"/>
    <w:next w:val="Normal"/>
    <w:autoRedefine w:val="0"/>
    <w:hidden w:val="0"/>
    <w:qFormat w:val="0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Ecofont_Spranq_eco_Sans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CitaçãoChar1">
    <w:name w:val="Citação Char1"/>
    <w:next w:val="CitaçãoChar1"/>
    <w:autoRedefine w:val="0"/>
    <w:hidden w:val="0"/>
    <w:qFormat w:val="0"/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Ref.decomentário">
    <w:name w:val="Ref. de comentário"/>
    <w:next w:val="Ref.decomentári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odecomentário">
    <w:name w:val="Texto de comentário"/>
    <w:basedOn w:val="Normal"/>
    <w:next w:val="Textodecomentário"/>
    <w:autoRedefine w:val="0"/>
    <w:hidden w:val="0"/>
    <w:qFormat w:val="1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TextodecomentárioChar2">
    <w:name w:val="Texto de comentário Char2"/>
    <w:next w:val="TextodecomentárioChar2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GradeColorida-Ênfase1">
    <w:name w:val="Grade Colorida - Ênfase 1"/>
    <w:basedOn w:val="Normal"/>
    <w:next w:val="Normal"/>
    <w:autoRedefine w:val="0"/>
    <w:hidden w:val="0"/>
    <w:qFormat w:val="0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pt-BR"/>
    </w:rPr>
  </w:style>
  <w:style w:type="character" w:styleId="GradeColorida-Ênfase1Char">
    <w:name w:val="Grade Colorida - Ênfase 1 Char"/>
    <w:next w:val="GradeColorida-Ênfase1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Cs w:val="24"/>
      <w:effect w:val="none"/>
      <w:shd w:color="auto" w:fill="ffffcc" w:val="clear"/>
      <w:vertAlign w:val="baseline"/>
      <w:cs w:val="0"/>
      <w:em w:val="none"/>
      <w:lang/>
    </w:rPr>
  </w:style>
  <w:style w:type="paragraph" w:styleId="Assuntodocomentário">
    <w:name w:val="Assunto do comentário"/>
    <w:basedOn w:val="Textodecomentário"/>
    <w:next w:val="Textodecomentário"/>
    <w:autoRedefine w:val="0"/>
    <w:hidden w:val="0"/>
    <w:qFormat w:val="1"/>
    <w:pPr>
      <w:widowControl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AssuntodocomentárioChar1">
    <w:name w:val="Assunto do comentário Char1"/>
    <w:next w:val="AssuntodocomentárioChar1"/>
    <w:autoRedefine w:val="0"/>
    <w:hidden w:val="0"/>
    <w:qFormat w:val="0"/>
    <w:rPr>
      <w:rFonts w:ascii="Ecofont_Spranq_eco_Sans" w:cs="Tahoma" w:hAnsi="Ecofont_Spranq_eco_Sans"/>
      <w:b w:val="1"/>
      <w:bCs w:val="1"/>
      <w:w w:val="100"/>
      <w:position w:val="-1"/>
      <w:effect w:val="none"/>
      <w:vertAlign w:val="baseline"/>
      <w:cs w:val="0"/>
      <w:em w:val="none"/>
      <w:lang w:eastAsia="zh-CN"/>
    </w:rPr>
  </w:style>
  <w:style w:type="character" w:styleId="Título1Char">
    <w:name w:val="Título 1 Char"/>
    <w:next w:val="Título1Ch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Citação">
    <w:name w:val="Citação"/>
    <w:basedOn w:val="Normal"/>
    <w:next w:val="Normal"/>
    <w:autoRedefine w:val="0"/>
    <w:hidden w:val="0"/>
    <w:qFormat w:val="0"/>
    <w:pPr>
      <w:suppressAutoHyphens w:val="0"/>
      <w:spacing w:after="160" w:before="200" w:line="1" w:lineRule="atLeast"/>
      <w:ind w:left="864" w:right="864" w:leftChars="-1" w:rightChars="0" w:firstLineChars="-1"/>
      <w:jc w:val="center"/>
      <w:textDirection w:val="btLr"/>
      <w:textAlignment w:val="top"/>
      <w:outlineLvl w:val="0"/>
    </w:pPr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character" w:styleId="CitaçãoChar">
    <w:name w:val="Citação Char"/>
    <w:next w:val="CitaçãoChar"/>
    <w:autoRedefine w:val="0"/>
    <w:hidden w:val="0"/>
    <w:qFormat w:val="0"/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rágrafodaListaChar">
    <w:name w:val="Parágrafo da Lista Char"/>
    <w:next w:val="ParágrafodaLista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dpo@ifrs.edu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HxWrxMLHvbE4/xEe8z8sn8vog==">AMUW2mW2nyHMuORKWWVLlY+3rmZETGEzVmHOi6yr/yfRHor7ohB0+UEN4F8b1vZh+azloOOGo2H2XmmEE4uvVaRTVZKBwy2AKPaJFTckmq/kbJWv1tAkbYI=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2019-01-29T14:02:00Z</dcterms:created>
  <dc:creator>EDUARDO DOTTI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